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360" w:lineRule="auto"/>
        <w:jc w:val="center"/>
        <w:rPr>
          <w:rStyle w:val="7"/>
          <w:rFonts w:hint="eastAsia"/>
          <w:b/>
          <w:bCs/>
          <w:color w:val="auto"/>
          <w:sz w:val="32"/>
          <w:szCs w:val="32"/>
          <w:highlight w:val="none"/>
          <w:lang w:val="en-US" w:eastAsia="zh-CN"/>
        </w:rPr>
      </w:pPr>
      <w:r>
        <w:rPr>
          <w:rFonts w:hint="eastAsia" w:ascii="新宋体" w:hAnsi="新宋体" w:eastAsia="新宋体" w:cs="新宋体"/>
          <w:color w:val="auto"/>
          <w:sz w:val="28"/>
          <w:szCs w:val="28"/>
          <w:highlight w:val="none"/>
        </w:rPr>
        <w:t>招标项目要求</w:t>
      </w:r>
    </w:p>
    <w:p>
      <w:pPr>
        <w:pStyle w:val="8"/>
        <w:numPr>
          <w:ilvl w:val="0"/>
          <w:numId w:val="0"/>
        </w:numPr>
        <w:autoSpaceDE w:val="0"/>
        <w:autoSpaceDN w:val="0"/>
        <w:adjustRightInd w:val="0"/>
        <w:snapToGrid w:val="0"/>
        <w:spacing w:line="440" w:lineRule="atLeast"/>
        <w:ind w:leftChars="200"/>
        <w:textAlignment w:val="bottom"/>
        <w:rPr>
          <w:rFonts w:ascii="Times New Roman" w:hAnsi="Times New Roman" w:cs="Times New Roman"/>
          <w:color w:val="auto"/>
          <w:kern w:val="2"/>
          <w:sz w:val="24"/>
          <w:szCs w:val="24"/>
          <w:highlight w:val="none"/>
          <w:lang w:eastAsia="zh-CN"/>
        </w:rPr>
      </w:pPr>
      <w:r>
        <w:rPr>
          <w:rFonts w:hint="eastAsia" w:ascii="Times New Roman" w:hAnsi="Times New Roman" w:cs="宋体"/>
          <w:color w:val="auto"/>
          <w:kern w:val="2"/>
          <w:sz w:val="24"/>
          <w:szCs w:val="24"/>
          <w:highlight w:val="none"/>
          <w:lang w:val="en-US" w:eastAsia="zh-CN"/>
        </w:rPr>
        <w:t>一、</w:t>
      </w:r>
      <w:r>
        <w:rPr>
          <w:rFonts w:hint="eastAsia" w:ascii="Times New Roman" w:hAnsi="Times New Roman" w:cs="宋体"/>
          <w:color w:val="auto"/>
          <w:kern w:val="2"/>
          <w:sz w:val="24"/>
          <w:szCs w:val="24"/>
          <w:highlight w:val="none"/>
          <w:lang w:eastAsia="zh-CN"/>
        </w:rPr>
        <w:t>服务程序及要求</w:t>
      </w:r>
    </w:p>
    <w:p>
      <w:pPr>
        <w:autoSpaceDE w:val="0"/>
        <w:autoSpaceDN w:val="0"/>
        <w:adjustRightInd w:val="0"/>
        <w:snapToGrid w:val="0"/>
        <w:spacing w:line="440" w:lineRule="atLeast"/>
        <w:ind w:firstLine="426"/>
        <w:textAlignment w:val="bottom"/>
        <w:rPr>
          <w:color w:val="auto"/>
          <w:sz w:val="24"/>
          <w:szCs w:val="24"/>
          <w:highlight w:val="none"/>
        </w:rPr>
      </w:pPr>
      <w:r>
        <w:rPr>
          <w:color w:val="auto"/>
          <w:sz w:val="24"/>
          <w:szCs w:val="24"/>
          <w:highlight w:val="none"/>
        </w:rPr>
        <w:t>1</w:t>
      </w:r>
      <w:r>
        <w:rPr>
          <w:rFonts w:hint="eastAsia" w:cs="宋体"/>
          <w:color w:val="auto"/>
          <w:sz w:val="24"/>
          <w:szCs w:val="24"/>
          <w:highlight w:val="none"/>
        </w:rPr>
        <w:t>）审核及审计实施</w:t>
      </w:r>
      <w:r>
        <w:rPr>
          <w:rFonts w:hint="eastAsia" w:cs="宋体"/>
          <w:color w:val="auto"/>
          <w:sz w:val="24"/>
          <w:szCs w:val="24"/>
          <w:highlight w:val="none"/>
          <w:lang w:eastAsia="zh-CN"/>
        </w:rPr>
        <w:t>：</w:t>
      </w:r>
      <w:r>
        <w:rPr>
          <w:rFonts w:hint="eastAsia" w:cs="宋体"/>
          <w:color w:val="auto"/>
          <w:sz w:val="24"/>
          <w:szCs w:val="24"/>
          <w:highlight w:val="none"/>
        </w:rPr>
        <w:t>由中标的中介机构根据各自相应的审核及审计实施方案进行审核及审计。</w:t>
      </w:r>
    </w:p>
    <w:p>
      <w:pPr>
        <w:autoSpaceDE w:val="0"/>
        <w:autoSpaceDN w:val="0"/>
        <w:adjustRightInd w:val="0"/>
        <w:snapToGrid w:val="0"/>
        <w:spacing w:line="440" w:lineRule="atLeast"/>
        <w:ind w:firstLine="426"/>
        <w:textAlignment w:val="bottom"/>
        <w:rPr>
          <w:color w:val="auto"/>
          <w:sz w:val="24"/>
          <w:szCs w:val="24"/>
          <w:highlight w:val="none"/>
        </w:rPr>
      </w:pPr>
      <w:r>
        <w:rPr>
          <w:color w:val="auto"/>
          <w:sz w:val="24"/>
          <w:szCs w:val="24"/>
          <w:highlight w:val="none"/>
        </w:rPr>
        <w:t>2</w:t>
      </w:r>
      <w:r>
        <w:rPr>
          <w:rFonts w:hint="eastAsia" w:cs="宋体"/>
          <w:color w:val="auto"/>
          <w:sz w:val="24"/>
          <w:szCs w:val="24"/>
          <w:highlight w:val="none"/>
        </w:rPr>
        <w:t>）撰写报告</w:t>
      </w:r>
      <w:r>
        <w:rPr>
          <w:rFonts w:hint="eastAsia" w:cs="宋体"/>
          <w:color w:val="auto"/>
          <w:sz w:val="24"/>
          <w:szCs w:val="24"/>
          <w:highlight w:val="none"/>
          <w:lang w:eastAsia="zh-CN"/>
        </w:rPr>
        <w:t>：</w:t>
      </w:r>
      <w:r>
        <w:rPr>
          <w:rFonts w:hint="eastAsia" w:cs="宋体"/>
          <w:color w:val="auto"/>
          <w:sz w:val="24"/>
          <w:szCs w:val="24"/>
          <w:highlight w:val="none"/>
        </w:rPr>
        <w:t>中标的中介机构要依据审核结果提出调整意见，出具审定通知书，同时按照规定的文本格式和协议要求撰写审核报告，撰写时应做到依据充分、数据真实、内容完整、分析透彻</w:t>
      </w:r>
      <w:r>
        <w:rPr>
          <w:rFonts w:hint="eastAsia" w:cs="宋体"/>
          <w:color w:val="auto"/>
          <w:sz w:val="24"/>
          <w:szCs w:val="24"/>
          <w:highlight w:val="none"/>
          <w:lang w:eastAsia="zh-CN"/>
        </w:rPr>
        <w:t>；</w:t>
      </w:r>
      <w:r>
        <w:rPr>
          <w:rFonts w:hint="eastAsia" w:ascii="Times New Roman" w:hAnsi="Times New Roman" w:cs="宋体"/>
          <w:color w:val="auto"/>
          <w:kern w:val="2"/>
          <w:sz w:val="24"/>
          <w:szCs w:val="24"/>
          <w:highlight w:val="none"/>
          <w:lang w:eastAsia="zh-CN"/>
        </w:rPr>
        <w:t>审计</w:t>
      </w:r>
      <w:r>
        <w:rPr>
          <w:rFonts w:hint="eastAsia" w:cs="宋体"/>
          <w:color w:val="auto"/>
          <w:kern w:val="2"/>
          <w:sz w:val="24"/>
          <w:szCs w:val="24"/>
          <w:highlight w:val="none"/>
          <w:lang w:eastAsia="zh-CN"/>
        </w:rPr>
        <w:t>报告</w:t>
      </w:r>
      <w:r>
        <w:rPr>
          <w:rFonts w:hint="eastAsia" w:ascii="Times New Roman" w:hAnsi="Times New Roman" w:cs="宋体"/>
          <w:color w:val="auto"/>
          <w:kern w:val="2"/>
          <w:sz w:val="24"/>
          <w:szCs w:val="24"/>
          <w:highlight w:val="none"/>
          <w:lang w:eastAsia="zh-CN"/>
        </w:rPr>
        <w:t>要求一式五份。</w:t>
      </w:r>
    </w:p>
    <w:p>
      <w:pPr>
        <w:pStyle w:val="8"/>
        <w:autoSpaceDE w:val="0"/>
        <w:autoSpaceDN w:val="0"/>
        <w:adjustRightInd w:val="0"/>
        <w:snapToGrid w:val="0"/>
        <w:spacing w:line="440" w:lineRule="atLeast"/>
        <w:ind w:left="0" w:firstLine="426"/>
        <w:textAlignment w:val="bottom"/>
        <w:rPr>
          <w:rFonts w:ascii="Times New Roman" w:hAnsi="Times New Roman" w:cs="Times New Roman"/>
          <w:color w:val="auto"/>
          <w:kern w:val="2"/>
          <w:sz w:val="24"/>
          <w:szCs w:val="24"/>
          <w:highlight w:val="none"/>
          <w:lang w:eastAsia="zh-CN"/>
        </w:rPr>
      </w:pPr>
      <w:r>
        <w:rPr>
          <w:rFonts w:ascii="Times New Roman" w:hAnsi="Times New Roman" w:cs="Times New Roman"/>
          <w:color w:val="auto"/>
          <w:kern w:val="2"/>
          <w:sz w:val="24"/>
          <w:szCs w:val="24"/>
          <w:highlight w:val="none"/>
          <w:lang w:eastAsia="zh-CN"/>
        </w:rPr>
        <w:t>3</w:t>
      </w:r>
      <w:r>
        <w:rPr>
          <w:rFonts w:hint="eastAsia" w:ascii="Times New Roman" w:hAnsi="Times New Roman" w:cs="宋体"/>
          <w:color w:val="auto"/>
          <w:kern w:val="2"/>
          <w:sz w:val="24"/>
          <w:szCs w:val="24"/>
          <w:highlight w:val="none"/>
          <w:lang w:eastAsia="zh-CN"/>
        </w:rPr>
        <w:t>）提交成果：审核报告经中介机构负责人签章后，中介机构对被审核项目（单位）有保守商业秘密的义务，应妥善保管审核工作底稿和有关资料，不得擅自对外提供。</w:t>
      </w:r>
    </w:p>
    <w:p>
      <w:pPr>
        <w:pStyle w:val="9"/>
        <w:numPr>
          <w:ilvl w:val="0"/>
          <w:numId w:val="0"/>
        </w:numPr>
        <w:spacing w:beforeLines="0" w:afterLines="0" w:line="460" w:lineRule="exact"/>
        <w:ind w:left="34" w:leftChars="0" w:firstLine="480" w:firstLineChars="200"/>
        <w:rPr>
          <w:color w:val="auto"/>
          <w:highlight w:val="none"/>
        </w:rPr>
      </w:pPr>
      <w:r>
        <w:rPr>
          <w:rFonts w:ascii="Times New Roman" w:hAnsi="Times New Roman" w:cs="Times New Roman"/>
          <w:color w:val="auto"/>
          <w:kern w:val="2"/>
          <w:sz w:val="24"/>
          <w:szCs w:val="24"/>
          <w:highlight w:val="none"/>
          <w:lang w:eastAsia="zh-CN"/>
        </w:rPr>
        <w:t>4</w:t>
      </w:r>
      <w:r>
        <w:rPr>
          <w:rFonts w:hint="eastAsia" w:ascii="Times New Roman" w:hAnsi="Times New Roman" w:cs="宋体"/>
          <w:color w:val="auto"/>
          <w:kern w:val="2"/>
          <w:sz w:val="24"/>
          <w:szCs w:val="24"/>
          <w:highlight w:val="none"/>
          <w:lang w:eastAsia="zh-CN"/>
        </w:rPr>
        <w:t>）</w:t>
      </w:r>
      <w:r>
        <w:rPr>
          <w:rFonts w:hint="eastAsia" w:cs="宋体"/>
          <w:color w:val="auto"/>
          <w:highlight w:val="none"/>
          <w:lang w:eastAsia="zh-CN"/>
        </w:rPr>
        <w:t>人员要求：</w:t>
      </w:r>
      <w:r>
        <w:rPr>
          <w:rFonts w:hint="eastAsia" w:cs="宋体"/>
          <w:color w:val="auto"/>
          <w:highlight w:val="none"/>
        </w:rPr>
        <w:t>审计</w:t>
      </w:r>
      <w:r>
        <w:rPr>
          <w:rFonts w:hint="eastAsia" w:cs="宋体"/>
          <w:color w:val="auto"/>
          <w:highlight w:val="none"/>
          <w:lang w:eastAsia="zh-CN"/>
        </w:rPr>
        <w:t>项目负责</w:t>
      </w:r>
      <w:r>
        <w:rPr>
          <w:rFonts w:hint="eastAsia" w:cs="宋体"/>
          <w:color w:val="auto"/>
          <w:highlight w:val="none"/>
        </w:rPr>
        <w:t>人员要求具有注册造价工程师</w:t>
      </w:r>
      <w:r>
        <w:rPr>
          <w:rFonts w:hint="eastAsia" w:cs="宋体"/>
          <w:color w:val="auto"/>
          <w:highlight w:val="none"/>
          <w:lang w:eastAsia="zh-CN"/>
        </w:rPr>
        <w:t>执</w:t>
      </w:r>
      <w:r>
        <w:rPr>
          <w:rFonts w:hint="eastAsia" w:cs="宋体"/>
          <w:color w:val="auto"/>
          <w:highlight w:val="none"/>
        </w:rPr>
        <w:t>业资质</w:t>
      </w:r>
      <w:r>
        <w:rPr>
          <w:rFonts w:hint="eastAsia" w:cs="宋体"/>
          <w:color w:val="auto"/>
          <w:highlight w:val="none"/>
          <w:lang w:eastAsia="zh-CN"/>
        </w:rPr>
        <w:t>；具体项目审计，需指派具有一年及以上从业经历</w:t>
      </w:r>
      <w:r>
        <w:rPr>
          <w:rFonts w:hint="eastAsia" w:cs="宋体"/>
          <w:color w:val="auto"/>
          <w:highlight w:val="none"/>
          <w:lang w:val="en-US" w:eastAsia="zh-CN"/>
        </w:rPr>
        <w:t>的</w:t>
      </w:r>
      <w:r>
        <w:rPr>
          <w:rFonts w:hint="eastAsia" w:cs="宋体"/>
          <w:color w:val="auto"/>
          <w:highlight w:val="none"/>
          <w:lang w:eastAsia="zh-CN"/>
        </w:rPr>
        <w:t>造价员或以上执业资格及相关工作经验的本单位正式人员，并经医院监察室同意，未经同意不得擅自变更原定拟派人员，严禁不具备相应执业资格人员借用他人名义从事项目审核工作。</w:t>
      </w:r>
    </w:p>
    <w:p>
      <w:pPr>
        <w:pStyle w:val="8"/>
        <w:autoSpaceDE w:val="0"/>
        <w:autoSpaceDN w:val="0"/>
        <w:adjustRightInd w:val="0"/>
        <w:snapToGrid w:val="0"/>
        <w:spacing w:line="440" w:lineRule="atLeast"/>
        <w:ind w:left="0" w:firstLine="426"/>
        <w:textAlignment w:val="bottom"/>
        <w:rPr>
          <w:rFonts w:hint="eastAsia" w:ascii="Times New Roman" w:hAnsi="Times New Roman"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eastAsia="zh-CN"/>
        </w:rPr>
        <w:t>5）审计人员要严格遵守职业道德，依法审计、忠于职守、坚持原则、客观公正、廉洁奉公，不得泄露秘密，玩忽职守。</w:t>
      </w:r>
    </w:p>
    <w:p>
      <w:pPr>
        <w:pStyle w:val="8"/>
        <w:autoSpaceDE w:val="0"/>
        <w:autoSpaceDN w:val="0"/>
        <w:adjustRightInd w:val="0"/>
        <w:snapToGrid w:val="0"/>
        <w:spacing w:line="440" w:lineRule="atLeast"/>
        <w:ind w:left="0" w:firstLine="426"/>
        <w:textAlignment w:val="bottom"/>
        <w:rPr>
          <w:rFonts w:hint="eastAsia" w:ascii="Times New Roman" w:hAnsi="Times New Roman"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eastAsia="zh-CN"/>
        </w:rPr>
        <w:t>6）审计人员在审计过程中要深入工地现场实地勘察，审核竣工结算编制依据，核定施工工程量，审核材料用量及价差，审查隐蔽验收记录，防止各种计算误差；</w:t>
      </w:r>
    </w:p>
    <w:p>
      <w:pPr>
        <w:pStyle w:val="8"/>
        <w:autoSpaceDE w:val="0"/>
        <w:autoSpaceDN w:val="0"/>
        <w:adjustRightInd w:val="0"/>
        <w:snapToGrid w:val="0"/>
        <w:spacing w:line="440" w:lineRule="atLeast"/>
        <w:ind w:left="0" w:firstLine="426"/>
        <w:textAlignment w:val="bottom"/>
        <w:rPr>
          <w:rFonts w:hint="eastAsia" w:ascii="Times New Roman" w:hAnsi="Times New Roman"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eastAsia="zh-CN"/>
        </w:rPr>
        <w:t>7）工程审计中介机构对医院审计人员负责，要求与工程项目管理人员和工程施工方采取回避政策，以避免正常审计结果受到干扰。</w:t>
      </w:r>
    </w:p>
    <w:p>
      <w:pPr>
        <w:pStyle w:val="8"/>
        <w:autoSpaceDE w:val="0"/>
        <w:autoSpaceDN w:val="0"/>
        <w:adjustRightInd w:val="0"/>
        <w:snapToGrid w:val="0"/>
        <w:spacing w:line="440" w:lineRule="atLeast"/>
        <w:ind w:left="0" w:firstLine="426"/>
        <w:textAlignment w:val="bottom"/>
        <w:rPr>
          <w:color w:val="auto"/>
          <w:sz w:val="24"/>
          <w:szCs w:val="24"/>
          <w:highlight w:val="none"/>
        </w:rPr>
      </w:pPr>
      <w:r>
        <w:rPr>
          <w:rFonts w:hint="eastAsia" w:ascii="Times New Roman" w:hAnsi="Times New Roman" w:cs="Times New Roman"/>
          <w:color w:val="auto"/>
          <w:kern w:val="2"/>
          <w:sz w:val="24"/>
          <w:szCs w:val="24"/>
          <w:highlight w:val="none"/>
          <w:lang w:eastAsia="zh-CN"/>
        </w:rPr>
        <w:t>8）审计过程要在医院提供完整工程结算资料后</w:t>
      </w:r>
      <w:r>
        <w:rPr>
          <w:rFonts w:hint="eastAsia" w:ascii="Times New Roman" w:hAnsi="Times New Roman" w:cs="Times New Roman"/>
          <w:color w:val="auto"/>
          <w:kern w:val="2"/>
          <w:sz w:val="24"/>
          <w:szCs w:val="24"/>
          <w:highlight w:val="none"/>
          <w:lang w:val="en-US" w:eastAsia="zh-CN"/>
        </w:rPr>
        <w:t>5天内组织审计人员进行现场实地勘察，勘察结束后15</w:t>
      </w:r>
      <w:r>
        <w:rPr>
          <w:rFonts w:hint="eastAsia" w:ascii="Times New Roman" w:hAnsi="Times New Roman" w:cs="Times New Roman"/>
          <w:color w:val="auto"/>
          <w:kern w:val="2"/>
          <w:sz w:val="24"/>
          <w:szCs w:val="24"/>
          <w:highlight w:val="none"/>
          <w:lang w:eastAsia="zh-CN"/>
        </w:rPr>
        <w:t>天内出具竣工结算审计报告</w:t>
      </w:r>
      <w:r>
        <w:rPr>
          <w:rFonts w:hint="eastAsia" w:ascii="Times New Roman" w:hAnsi="Times New Roman" w:cs="Times New Roman"/>
          <w:color w:val="auto"/>
          <w:kern w:val="2"/>
          <w:sz w:val="24"/>
          <w:szCs w:val="24"/>
          <w:highlight w:val="none"/>
          <w:lang w:val="en-US" w:eastAsia="zh-CN"/>
        </w:rPr>
        <w:t>；如施工方对审计结果有异议的，应组织施工单位、医院总务等相关人员进行协商，并在协商后5日内出具最终结算审计结果</w:t>
      </w:r>
      <w:r>
        <w:rPr>
          <w:rFonts w:hint="eastAsia" w:ascii="Times New Roman" w:hAnsi="Times New Roman" w:cs="Times New Roman"/>
          <w:color w:val="auto"/>
          <w:kern w:val="2"/>
          <w:sz w:val="24"/>
          <w:szCs w:val="24"/>
          <w:highlight w:val="none"/>
          <w:lang w:eastAsia="zh-CN"/>
        </w:rPr>
        <w:t>。</w:t>
      </w:r>
    </w:p>
    <w:p>
      <w:pPr>
        <w:spacing w:line="440" w:lineRule="atLeast"/>
        <w:ind w:firstLine="480" w:firstLineChars="200"/>
        <w:rPr>
          <w:color w:val="auto"/>
          <w:sz w:val="24"/>
          <w:szCs w:val="24"/>
          <w:highlight w:val="none"/>
        </w:rPr>
      </w:pPr>
      <w:r>
        <w:rPr>
          <w:color w:val="auto"/>
          <w:sz w:val="24"/>
          <w:szCs w:val="24"/>
          <w:highlight w:val="none"/>
        </w:rPr>
        <w:t>9</w:t>
      </w:r>
      <w:r>
        <w:rPr>
          <w:rFonts w:hint="eastAsia" w:cs="宋体"/>
          <w:color w:val="auto"/>
          <w:sz w:val="24"/>
          <w:szCs w:val="24"/>
          <w:highlight w:val="none"/>
        </w:rPr>
        <w:t>）收费标准：</w:t>
      </w:r>
    </w:p>
    <w:tbl>
      <w:tblPr>
        <w:tblStyle w:val="5"/>
        <w:tblW w:w="0" w:type="auto"/>
        <w:jc w:val="center"/>
        <w:tblLayout w:type="fixed"/>
        <w:tblCellMar>
          <w:top w:w="15" w:type="dxa"/>
          <w:left w:w="15" w:type="dxa"/>
          <w:bottom w:w="15" w:type="dxa"/>
          <w:right w:w="15" w:type="dxa"/>
        </w:tblCellMar>
      </w:tblPr>
      <w:tblGrid>
        <w:gridCol w:w="869"/>
        <w:gridCol w:w="1703"/>
        <w:gridCol w:w="1137"/>
        <w:gridCol w:w="1410"/>
        <w:gridCol w:w="1985"/>
      </w:tblGrid>
      <w:tr>
        <w:tblPrEx>
          <w:tblCellMar>
            <w:top w:w="15" w:type="dxa"/>
            <w:left w:w="15" w:type="dxa"/>
            <w:bottom w:w="15" w:type="dxa"/>
            <w:right w:w="15" w:type="dxa"/>
          </w:tblCellMar>
        </w:tblPrEx>
        <w:trPr>
          <w:trHeight w:val="450" w:hRule="atLeast"/>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委托业务内容</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计算基数</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最高收费限价</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widowControl/>
              <w:tabs>
                <w:tab w:val="left" w:pos="270"/>
              </w:tabs>
              <w:textAlignment w:val="center"/>
              <w:rPr>
                <w:rFonts w:ascii="宋体"/>
                <w:b/>
                <w:bCs/>
                <w:color w:val="auto"/>
                <w:sz w:val="22"/>
                <w:szCs w:val="22"/>
                <w:highlight w:val="none"/>
              </w:rPr>
            </w:pPr>
            <w:r>
              <w:rPr>
                <w:rFonts w:ascii="宋体"/>
                <w:b/>
                <w:bCs/>
                <w:color w:val="auto"/>
                <w:sz w:val="22"/>
                <w:szCs w:val="22"/>
                <w:highlight w:val="none"/>
              </w:rPr>
              <w:tab/>
            </w:r>
            <w:r>
              <w:rPr>
                <w:rFonts w:hint="eastAsia" w:ascii="宋体" w:cs="宋体"/>
                <w:b/>
                <w:bCs/>
                <w:color w:val="auto"/>
                <w:sz w:val="22"/>
                <w:szCs w:val="22"/>
                <w:highlight w:val="none"/>
              </w:rPr>
              <w:t>加权系数</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工作内容要求</w:t>
            </w:r>
          </w:p>
        </w:tc>
      </w:tr>
      <w:tr>
        <w:tblPrEx>
          <w:tblCellMar>
            <w:top w:w="15" w:type="dxa"/>
            <w:left w:w="15" w:type="dxa"/>
            <w:bottom w:w="15" w:type="dxa"/>
            <w:right w:w="15" w:type="dxa"/>
          </w:tblCellMar>
        </w:tblPrEx>
        <w:trPr>
          <w:trHeight w:val="1045" w:hRule="atLeast"/>
          <w:jc w:val="center"/>
        </w:trPr>
        <w:tc>
          <w:tcPr>
            <w:tcW w:w="86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结算</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结算送审金额金额</w:t>
            </w:r>
            <w:r>
              <w:rPr>
                <w:rFonts w:ascii="宋体" w:cs="宋体"/>
                <w:b/>
                <w:bCs/>
                <w:color w:val="auto"/>
                <w:sz w:val="22"/>
                <w:szCs w:val="22"/>
                <w:highlight w:val="none"/>
              </w:rPr>
              <w:t>3</w:t>
            </w:r>
            <w:r>
              <w:rPr>
                <w:rFonts w:hint="eastAsia" w:ascii="宋体" w:cs="宋体"/>
                <w:b/>
                <w:bCs/>
                <w:color w:val="auto"/>
                <w:sz w:val="22"/>
                <w:szCs w:val="22"/>
                <w:highlight w:val="none"/>
              </w:rPr>
              <w:t>万以下（不包含</w:t>
            </w:r>
            <w:r>
              <w:rPr>
                <w:rFonts w:ascii="宋体" w:cs="宋体"/>
                <w:b/>
                <w:bCs/>
                <w:color w:val="auto"/>
                <w:sz w:val="22"/>
                <w:szCs w:val="22"/>
                <w:highlight w:val="none"/>
              </w:rPr>
              <w:t>3</w:t>
            </w:r>
            <w:r>
              <w:rPr>
                <w:rFonts w:hint="eastAsia" w:ascii="宋体" w:cs="宋体"/>
                <w:b/>
                <w:bCs/>
                <w:color w:val="auto"/>
                <w:sz w:val="22"/>
                <w:szCs w:val="22"/>
                <w:highlight w:val="none"/>
              </w:rPr>
              <w:t>万）</w:t>
            </w:r>
          </w:p>
        </w:tc>
        <w:tc>
          <w:tcPr>
            <w:tcW w:w="1137"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top"/>
              <w:rPr>
                <w:rFonts w:ascii="宋体"/>
                <w:b/>
                <w:bCs/>
                <w:color w:val="auto"/>
                <w:sz w:val="22"/>
                <w:szCs w:val="22"/>
                <w:highlight w:val="none"/>
              </w:rPr>
            </w:pPr>
            <w:r>
              <w:rPr>
                <w:rFonts w:ascii="宋体" w:cs="宋体"/>
                <w:b/>
                <w:bCs/>
                <w:color w:val="auto"/>
                <w:sz w:val="22"/>
                <w:szCs w:val="22"/>
                <w:highlight w:val="none"/>
              </w:rPr>
              <w:t>500</w:t>
            </w:r>
            <w:r>
              <w:rPr>
                <w:rFonts w:hint="eastAsia" w:ascii="宋体" w:cs="宋体"/>
                <w:b/>
                <w:bCs/>
                <w:color w:val="auto"/>
                <w:sz w:val="22"/>
                <w:szCs w:val="22"/>
                <w:highlight w:val="none"/>
              </w:rPr>
              <w:t>元</w:t>
            </w:r>
            <w:r>
              <w:rPr>
                <w:rFonts w:ascii="宋体" w:cs="宋体"/>
                <w:b/>
                <w:bCs/>
                <w:color w:val="auto"/>
                <w:sz w:val="22"/>
                <w:szCs w:val="22"/>
                <w:highlight w:val="none"/>
              </w:rPr>
              <w:t>/</w:t>
            </w:r>
            <w:r>
              <w:rPr>
                <w:rFonts w:hint="eastAsia" w:ascii="宋体" w:cs="宋体"/>
                <w:b/>
                <w:bCs/>
                <w:color w:val="auto"/>
                <w:sz w:val="22"/>
                <w:szCs w:val="22"/>
                <w:highlight w:val="none"/>
              </w:rPr>
              <w:t>项目</w:t>
            </w: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ascii="宋体"/>
                <w:b/>
                <w:bCs/>
                <w:color w:val="auto"/>
                <w:sz w:val="22"/>
                <w:szCs w:val="22"/>
                <w:highlight w:val="none"/>
              </w:rPr>
            </w:pPr>
            <w:r>
              <w:rPr>
                <w:rFonts w:ascii="宋体" w:cs="宋体"/>
                <w:b/>
                <w:bCs/>
                <w:color w:val="auto"/>
                <w:sz w:val="22"/>
                <w:szCs w:val="22"/>
                <w:highlight w:val="none"/>
              </w:rPr>
              <w:t>0.1</w:t>
            </w:r>
          </w:p>
        </w:tc>
        <w:tc>
          <w:tcPr>
            <w:tcW w:w="1985" w:type="dxa"/>
            <w:vMerge w:val="restart"/>
            <w:tcBorders>
              <w:top w:val="single" w:color="000000" w:sz="4" w:space="0"/>
              <w:left w:val="single" w:color="000000" w:sz="4" w:space="0"/>
              <w:right w:val="single" w:color="000000" w:sz="4" w:space="0"/>
            </w:tcBorders>
            <w:noWrap w:val="0"/>
            <w:vAlign w:val="center"/>
          </w:tcPr>
          <w:p>
            <w:pPr>
              <w:widowControl/>
              <w:jc w:val="center"/>
              <w:textAlignment w:val="top"/>
              <w:rPr>
                <w:rFonts w:ascii="宋体"/>
                <w:b/>
                <w:bCs/>
                <w:color w:val="auto"/>
                <w:sz w:val="22"/>
                <w:szCs w:val="22"/>
                <w:highlight w:val="none"/>
              </w:rPr>
            </w:pPr>
            <w:r>
              <w:rPr>
                <w:rFonts w:hint="eastAsia" w:ascii="宋体" w:cs="宋体"/>
                <w:b/>
                <w:bCs/>
                <w:color w:val="auto"/>
                <w:sz w:val="22"/>
                <w:szCs w:val="22"/>
                <w:highlight w:val="none"/>
              </w:rPr>
              <w:t>需根据浙价服【</w:t>
            </w:r>
            <w:r>
              <w:rPr>
                <w:rFonts w:ascii="宋体" w:cs="宋体"/>
                <w:b/>
                <w:bCs/>
                <w:color w:val="auto"/>
                <w:sz w:val="22"/>
                <w:szCs w:val="22"/>
                <w:highlight w:val="none"/>
              </w:rPr>
              <w:t>2009</w:t>
            </w:r>
            <w:r>
              <w:rPr>
                <w:rFonts w:hint="eastAsia" w:ascii="宋体" w:cs="宋体"/>
                <w:b/>
                <w:bCs/>
                <w:color w:val="auto"/>
                <w:sz w:val="22"/>
                <w:szCs w:val="22"/>
                <w:highlight w:val="none"/>
              </w:rPr>
              <w:t>】</w:t>
            </w:r>
            <w:r>
              <w:rPr>
                <w:rFonts w:ascii="宋体" w:cs="宋体"/>
                <w:b/>
                <w:bCs/>
                <w:color w:val="auto"/>
                <w:sz w:val="22"/>
                <w:szCs w:val="22"/>
                <w:highlight w:val="none"/>
              </w:rPr>
              <w:t>84</w:t>
            </w:r>
            <w:r>
              <w:rPr>
                <w:rFonts w:hint="eastAsia" w:ascii="宋体" w:cs="宋体"/>
                <w:b/>
                <w:bCs/>
                <w:color w:val="auto"/>
                <w:sz w:val="22"/>
                <w:szCs w:val="22"/>
                <w:highlight w:val="none"/>
              </w:rPr>
              <w:t>号文件收费项目的对应工作内容执行</w:t>
            </w:r>
          </w:p>
          <w:p>
            <w:pPr>
              <w:jc w:val="center"/>
              <w:rPr>
                <w:rFonts w:ascii="宋体"/>
                <w:b/>
                <w:bCs/>
                <w:color w:val="auto"/>
                <w:sz w:val="22"/>
                <w:szCs w:val="22"/>
                <w:highlight w:val="none"/>
              </w:rPr>
            </w:pPr>
          </w:p>
        </w:tc>
      </w:tr>
      <w:tr>
        <w:tblPrEx>
          <w:tblCellMar>
            <w:top w:w="15" w:type="dxa"/>
            <w:left w:w="15" w:type="dxa"/>
            <w:bottom w:w="15" w:type="dxa"/>
            <w:right w:w="15" w:type="dxa"/>
          </w:tblCellMar>
        </w:tblPrEx>
        <w:trPr>
          <w:trHeight w:val="600" w:hRule="atLeast"/>
          <w:jc w:val="center"/>
        </w:trPr>
        <w:tc>
          <w:tcPr>
            <w:tcW w:w="869" w:type="dxa"/>
            <w:vMerge w:val="continue"/>
            <w:tcBorders>
              <w:left w:val="single" w:color="000000" w:sz="4" w:space="0"/>
              <w:right w:val="single" w:color="000000" w:sz="4" w:space="0"/>
            </w:tcBorders>
            <w:noWrap w:val="0"/>
            <w:vAlign w:val="center"/>
          </w:tcPr>
          <w:p>
            <w:pPr>
              <w:jc w:val="center"/>
              <w:rPr>
                <w:rFonts w:ascii="宋体"/>
                <w:b/>
                <w:bCs/>
                <w:color w:val="auto"/>
                <w:sz w:val="22"/>
                <w:szCs w:val="22"/>
                <w:highlight w:val="none"/>
              </w:rPr>
            </w:pPr>
          </w:p>
        </w:tc>
        <w:tc>
          <w:tcPr>
            <w:tcW w:w="170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ascii="宋体"/>
                <w:b/>
                <w:bCs/>
                <w:color w:val="auto"/>
                <w:sz w:val="22"/>
                <w:szCs w:val="22"/>
                <w:highlight w:val="none"/>
              </w:rPr>
            </w:pPr>
            <w:r>
              <w:rPr>
                <w:rFonts w:hint="eastAsia" w:ascii="宋体" w:cs="宋体"/>
                <w:b/>
                <w:bCs/>
                <w:color w:val="auto"/>
                <w:sz w:val="22"/>
                <w:szCs w:val="22"/>
                <w:highlight w:val="none"/>
              </w:rPr>
              <w:t>结算送审金额金额</w:t>
            </w:r>
            <w:r>
              <w:rPr>
                <w:rFonts w:ascii="宋体" w:cs="宋体"/>
                <w:b/>
                <w:bCs/>
                <w:color w:val="auto"/>
                <w:sz w:val="22"/>
                <w:szCs w:val="22"/>
                <w:highlight w:val="none"/>
              </w:rPr>
              <w:t>3</w:t>
            </w:r>
            <w:r>
              <w:rPr>
                <w:rFonts w:hint="eastAsia" w:ascii="宋体" w:cs="宋体"/>
                <w:b/>
                <w:bCs/>
                <w:color w:val="auto"/>
                <w:sz w:val="22"/>
                <w:szCs w:val="22"/>
                <w:highlight w:val="none"/>
              </w:rPr>
              <w:t>万</w:t>
            </w:r>
            <w:r>
              <w:rPr>
                <w:rFonts w:ascii="宋体" w:cs="宋体"/>
                <w:b/>
                <w:bCs/>
                <w:color w:val="auto"/>
                <w:sz w:val="22"/>
                <w:szCs w:val="22"/>
                <w:highlight w:val="none"/>
              </w:rPr>
              <w:t>-20</w:t>
            </w:r>
            <w:r>
              <w:rPr>
                <w:rFonts w:hint="eastAsia" w:ascii="宋体" w:cs="宋体"/>
                <w:b/>
                <w:bCs/>
                <w:color w:val="auto"/>
                <w:sz w:val="22"/>
                <w:szCs w:val="22"/>
                <w:highlight w:val="none"/>
              </w:rPr>
              <w:t>万（不包含</w:t>
            </w:r>
            <w:r>
              <w:rPr>
                <w:rFonts w:ascii="宋体" w:cs="宋体"/>
                <w:b/>
                <w:bCs/>
                <w:color w:val="auto"/>
                <w:sz w:val="22"/>
                <w:szCs w:val="22"/>
                <w:highlight w:val="none"/>
              </w:rPr>
              <w:t>20</w:t>
            </w:r>
            <w:r>
              <w:rPr>
                <w:rFonts w:hint="eastAsia" w:ascii="宋体" w:cs="宋体"/>
                <w:b/>
                <w:bCs/>
                <w:color w:val="auto"/>
                <w:sz w:val="22"/>
                <w:szCs w:val="22"/>
                <w:highlight w:val="none"/>
              </w:rPr>
              <w:t>万）</w:t>
            </w:r>
          </w:p>
        </w:tc>
        <w:tc>
          <w:tcPr>
            <w:tcW w:w="1137" w:type="dxa"/>
            <w:tcBorders>
              <w:top w:val="single" w:color="000000" w:sz="4" w:space="0"/>
              <w:left w:val="single" w:color="000000" w:sz="4" w:space="0"/>
              <w:bottom w:val="single" w:color="auto" w:sz="4" w:space="0"/>
              <w:right w:val="single" w:color="000000" w:sz="4" w:space="0"/>
            </w:tcBorders>
            <w:noWrap w:val="0"/>
            <w:vAlign w:val="center"/>
          </w:tcPr>
          <w:p>
            <w:pPr>
              <w:jc w:val="center"/>
              <w:rPr>
                <w:color w:val="auto"/>
                <w:highlight w:val="none"/>
              </w:rPr>
            </w:pPr>
            <w:r>
              <w:rPr>
                <w:rFonts w:ascii="宋体" w:cs="宋体"/>
                <w:b/>
                <w:bCs/>
                <w:color w:val="auto"/>
                <w:sz w:val="22"/>
                <w:szCs w:val="22"/>
                <w:highlight w:val="none"/>
              </w:rPr>
              <w:t>1000</w:t>
            </w:r>
            <w:r>
              <w:rPr>
                <w:rFonts w:hint="eastAsia" w:ascii="宋体" w:cs="宋体"/>
                <w:b/>
                <w:bCs/>
                <w:color w:val="auto"/>
                <w:sz w:val="22"/>
                <w:szCs w:val="22"/>
                <w:highlight w:val="none"/>
              </w:rPr>
              <w:t>元</w:t>
            </w:r>
            <w:r>
              <w:rPr>
                <w:rFonts w:ascii="宋体" w:cs="宋体"/>
                <w:b/>
                <w:bCs/>
                <w:color w:val="auto"/>
                <w:sz w:val="22"/>
                <w:szCs w:val="22"/>
                <w:highlight w:val="none"/>
              </w:rPr>
              <w:t>/</w:t>
            </w:r>
            <w:r>
              <w:rPr>
                <w:rFonts w:hint="eastAsia" w:ascii="宋体" w:cs="宋体"/>
                <w:b/>
                <w:bCs/>
                <w:color w:val="auto"/>
                <w:sz w:val="22"/>
                <w:szCs w:val="22"/>
                <w:highlight w:val="none"/>
              </w:rPr>
              <w:t>项目</w:t>
            </w:r>
          </w:p>
        </w:tc>
        <w:tc>
          <w:tcPr>
            <w:tcW w:w="1410" w:type="dxa"/>
            <w:tcBorders>
              <w:left w:val="single" w:color="000000" w:sz="4" w:space="0"/>
              <w:bottom w:val="single" w:color="auto" w:sz="4" w:space="0"/>
              <w:right w:val="single" w:color="000000" w:sz="4" w:space="0"/>
            </w:tcBorders>
            <w:noWrap w:val="0"/>
            <w:vAlign w:val="center"/>
          </w:tcPr>
          <w:p>
            <w:pPr>
              <w:jc w:val="center"/>
              <w:rPr>
                <w:b/>
                <w:bCs/>
                <w:color w:val="auto"/>
                <w:highlight w:val="none"/>
              </w:rPr>
            </w:pPr>
            <w:r>
              <w:rPr>
                <w:b/>
                <w:bCs/>
                <w:color w:val="auto"/>
                <w:highlight w:val="none"/>
              </w:rPr>
              <w:t>0.8</w:t>
            </w:r>
          </w:p>
        </w:tc>
        <w:tc>
          <w:tcPr>
            <w:tcW w:w="1985" w:type="dxa"/>
            <w:vMerge w:val="continue"/>
            <w:tcBorders>
              <w:left w:val="single" w:color="000000" w:sz="4" w:space="0"/>
              <w:right w:val="single" w:color="000000" w:sz="4" w:space="0"/>
            </w:tcBorders>
            <w:noWrap w:val="0"/>
            <w:vAlign w:val="center"/>
          </w:tcPr>
          <w:p>
            <w:pPr>
              <w:jc w:val="center"/>
              <w:rPr>
                <w:color w:val="auto"/>
                <w:highlight w:val="none"/>
              </w:rPr>
            </w:pPr>
          </w:p>
        </w:tc>
      </w:tr>
      <w:tr>
        <w:tblPrEx>
          <w:tblCellMar>
            <w:top w:w="15" w:type="dxa"/>
            <w:left w:w="15" w:type="dxa"/>
            <w:bottom w:w="15" w:type="dxa"/>
            <w:right w:w="15" w:type="dxa"/>
          </w:tblCellMar>
        </w:tblPrEx>
        <w:trPr>
          <w:trHeight w:val="600" w:hRule="atLeast"/>
          <w:jc w:val="center"/>
        </w:trPr>
        <w:tc>
          <w:tcPr>
            <w:tcW w:w="869" w:type="dxa"/>
            <w:vMerge w:val="continue"/>
            <w:tcBorders>
              <w:left w:val="single" w:color="000000" w:sz="4" w:space="0"/>
              <w:right w:val="single" w:color="000000" w:sz="4" w:space="0"/>
            </w:tcBorders>
            <w:noWrap w:val="0"/>
            <w:vAlign w:val="center"/>
          </w:tcPr>
          <w:p>
            <w:pPr>
              <w:jc w:val="center"/>
              <w:rPr>
                <w:rFonts w:ascii="宋体"/>
                <w:b/>
                <w:bCs/>
                <w:color w:val="auto"/>
                <w:sz w:val="22"/>
                <w:szCs w:val="22"/>
                <w:highlight w:val="none"/>
              </w:rPr>
            </w:pPr>
          </w:p>
        </w:tc>
        <w:tc>
          <w:tcPr>
            <w:tcW w:w="170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ascii="宋体"/>
                <w:b/>
                <w:bCs/>
                <w:color w:val="auto"/>
                <w:sz w:val="22"/>
                <w:szCs w:val="22"/>
                <w:highlight w:val="none"/>
              </w:rPr>
            </w:pPr>
            <w:r>
              <w:rPr>
                <w:rFonts w:hint="eastAsia" w:ascii="宋体" w:cs="宋体"/>
                <w:b/>
                <w:bCs/>
                <w:color w:val="auto"/>
                <w:sz w:val="22"/>
                <w:szCs w:val="22"/>
                <w:highlight w:val="none"/>
              </w:rPr>
              <w:t>结算送审金额金额</w:t>
            </w:r>
            <w:r>
              <w:rPr>
                <w:rFonts w:ascii="宋体" w:cs="宋体"/>
                <w:b/>
                <w:bCs/>
                <w:color w:val="auto"/>
                <w:sz w:val="22"/>
                <w:szCs w:val="22"/>
                <w:highlight w:val="none"/>
              </w:rPr>
              <w:t>20</w:t>
            </w:r>
            <w:r>
              <w:rPr>
                <w:rFonts w:hint="eastAsia" w:ascii="宋体" w:cs="宋体"/>
                <w:b/>
                <w:bCs/>
                <w:color w:val="auto"/>
                <w:sz w:val="22"/>
                <w:szCs w:val="22"/>
                <w:highlight w:val="none"/>
              </w:rPr>
              <w:t>万</w:t>
            </w:r>
            <w:r>
              <w:rPr>
                <w:rFonts w:ascii="宋体" w:cs="宋体"/>
                <w:b/>
                <w:bCs/>
                <w:color w:val="auto"/>
                <w:sz w:val="22"/>
                <w:szCs w:val="22"/>
                <w:highlight w:val="none"/>
              </w:rPr>
              <w:t>-60</w:t>
            </w:r>
            <w:r>
              <w:rPr>
                <w:rFonts w:hint="eastAsia" w:ascii="宋体" w:cs="宋体"/>
                <w:b/>
                <w:bCs/>
                <w:color w:val="auto"/>
                <w:sz w:val="22"/>
                <w:szCs w:val="22"/>
                <w:highlight w:val="none"/>
              </w:rPr>
              <w:t>万（不包含</w:t>
            </w:r>
            <w:r>
              <w:rPr>
                <w:rFonts w:ascii="宋体" w:cs="宋体"/>
                <w:b/>
                <w:bCs/>
                <w:color w:val="auto"/>
                <w:sz w:val="22"/>
                <w:szCs w:val="22"/>
                <w:highlight w:val="none"/>
              </w:rPr>
              <w:t>60</w:t>
            </w:r>
            <w:r>
              <w:rPr>
                <w:rFonts w:hint="eastAsia" w:ascii="宋体" w:cs="宋体"/>
                <w:b/>
                <w:bCs/>
                <w:color w:val="auto"/>
                <w:sz w:val="22"/>
                <w:szCs w:val="22"/>
                <w:highlight w:val="none"/>
              </w:rPr>
              <w:t>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
                <w:bCs/>
                <w:color w:val="auto"/>
                <w:sz w:val="22"/>
                <w:szCs w:val="22"/>
                <w:highlight w:val="none"/>
              </w:rPr>
            </w:pPr>
            <w:r>
              <w:rPr>
                <w:rFonts w:ascii="宋体" w:cs="宋体"/>
                <w:b/>
                <w:bCs/>
                <w:color w:val="auto"/>
                <w:sz w:val="22"/>
                <w:szCs w:val="22"/>
                <w:highlight w:val="none"/>
              </w:rPr>
              <w:t>1</w:t>
            </w:r>
            <w:r>
              <w:rPr>
                <w:rFonts w:hint="eastAsia" w:ascii="宋体" w:cs="宋体"/>
                <w:b/>
                <w:bCs/>
                <w:color w:val="auto"/>
                <w:sz w:val="22"/>
                <w:szCs w:val="22"/>
                <w:highlight w:val="none"/>
                <w:lang w:val="en-US" w:eastAsia="zh-CN"/>
              </w:rPr>
              <w:t>4</w:t>
            </w:r>
            <w:r>
              <w:rPr>
                <w:rFonts w:ascii="宋体" w:cs="宋体"/>
                <w:b/>
                <w:bCs/>
                <w:color w:val="auto"/>
                <w:sz w:val="22"/>
                <w:szCs w:val="22"/>
                <w:highlight w:val="none"/>
              </w:rPr>
              <w:t>00</w:t>
            </w:r>
            <w:r>
              <w:rPr>
                <w:rFonts w:hint="eastAsia" w:ascii="宋体" w:cs="宋体"/>
                <w:b/>
                <w:bCs/>
                <w:color w:val="auto"/>
                <w:sz w:val="22"/>
                <w:szCs w:val="22"/>
                <w:highlight w:val="none"/>
              </w:rPr>
              <w:t>元</w:t>
            </w:r>
            <w:r>
              <w:rPr>
                <w:rFonts w:ascii="宋体" w:cs="宋体"/>
                <w:b/>
                <w:bCs/>
                <w:color w:val="auto"/>
                <w:sz w:val="22"/>
                <w:szCs w:val="22"/>
                <w:highlight w:val="none"/>
              </w:rPr>
              <w:t>/</w:t>
            </w:r>
            <w:r>
              <w:rPr>
                <w:rFonts w:hint="eastAsia" w:ascii="宋体" w:cs="宋体"/>
                <w:b/>
                <w:bCs/>
                <w:color w:val="auto"/>
                <w:sz w:val="22"/>
                <w:szCs w:val="22"/>
                <w:highlight w:val="none"/>
              </w:rPr>
              <w:t>项目</w:t>
            </w:r>
          </w:p>
        </w:tc>
        <w:tc>
          <w:tcPr>
            <w:tcW w:w="1410" w:type="dxa"/>
            <w:tcBorders>
              <w:left w:val="single" w:color="000000" w:sz="4" w:space="0"/>
              <w:bottom w:val="single" w:color="auto" w:sz="4" w:space="0"/>
              <w:right w:val="single" w:color="000000" w:sz="4" w:space="0"/>
            </w:tcBorders>
            <w:noWrap w:val="0"/>
            <w:vAlign w:val="center"/>
          </w:tcPr>
          <w:p>
            <w:pPr>
              <w:jc w:val="center"/>
              <w:rPr>
                <w:rFonts w:ascii="宋体"/>
                <w:b/>
                <w:bCs/>
                <w:color w:val="auto"/>
                <w:sz w:val="22"/>
                <w:szCs w:val="22"/>
                <w:highlight w:val="none"/>
              </w:rPr>
            </w:pPr>
            <w:r>
              <w:rPr>
                <w:rFonts w:ascii="宋体" w:cs="宋体"/>
                <w:b/>
                <w:bCs/>
                <w:color w:val="auto"/>
                <w:sz w:val="22"/>
                <w:szCs w:val="22"/>
                <w:highlight w:val="none"/>
              </w:rPr>
              <w:t>0.08</w:t>
            </w:r>
          </w:p>
        </w:tc>
        <w:tc>
          <w:tcPr>
            <w:tcW w:w="1985" w:type="dxa"/>
            <w:vMerge w:val="continue"/>
            <w:tcBorders>
              <w:left w:val="single" w:color="000000" w:sz="4" w:space="0"/>
              <w:right w:val="single" w:color="000000" w:sz="4" w:space="0"/>
            </w:tcBorders>
            <w:noWrap w:val="0"/>
            <w:vAlign w:val="center"/>
          </w:tcPr>
          <w:p>
            <w:pPr>
              <w:jc w:val="center"/>
              <w:rPr>
                <w:rFonts w:ascii="宋体"/>
                <w:b/>
                <w:bCs/>
                <w:color w:val="auto"/>
                <w:sz w:val="22"/>
                <w:szCs w:val="22"/>
                <w:highlight w:val="none"/>
              </w:rPr>
            </w:pPr>
          </w:p>
        </w:tc>
      </w:tr>
      <w:tr>
        <w:tblPrEx>
          <w:tblCellMar>
            <w:top w:w="15" w:type="dxa"/>
            <w:left w:w="15" w:type="dxa"/>
            <w:bottom w:w="15" w:type="dxa"/>
            <w:right w:w="15" w:type="dxa"/>
          </w:tblCellMar>
        </w:tblPrEx>
        <w:trPr>
          <w:trHeight w:val="675" w:hRule="atLeast"/>
          <w:jc w:val="center"/>
        </w:trPr>
        <w:tc>
          <w:tcPr>
            <w:tcW w:w="86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b/>
                <w:bCs/>
                <w:color w:val="auto"/>
                <w:sz w:val="22"/>
                <w:szCs w:val="22"/>
                <w:highlight w:val="none"/>
              </w:rPr>
            </w:pPr>
            <w:r>
              <w:rPr>
                <w:rFonts w:hint="eastAsia" w:ascii="宋体" w:cs="宋体"/>
                <w:b/>
                <w:bCs/>
                <w:color w:val="auto"/>
                <w:sz w:val="22"/>
                <w:szCs w:val="22"/>
                <w:highlight w:val="none"/>
              </w:rPr>
              <w:t>结算送审金额金额</w:t>
            </w:r>
            <w:r>
              <w:rPr>
                <w:rFonts w:ascii="宋体" w:cs="宋体"/>
                <w:b/>
                <w:bCs/>
                <w:color w:val="auto"/>
                <w:sz w:val="22"/>
                <w:szCs w:val="22"/>
                <w:highlight w:val="none"/>
              </w:rPr>
              <w:t>60</w:t>
            </w:r>
            <w:r>
              <w:rPr>
                <w:rFonts w:hint="eastAsia" w:ascii="宋体" w:cs="宋体"/>
                <w:b/>
                <w:bCs/>
                <w:color w:val="auto"/>
                <w:sz w:val="22"/>
                <w:szCs w:val="22"/>
                <w:highlight w:val="none"/>
              </w:rPr>
              <w:t>万以上（包含</w:t>
            </w:r>
            <w:r>
              <w:rPr>
                <w:rFonts w:ascii="宋体" w:cs="宋体"/>
                <w:b/>
                <w:bCs/>
                <w:color w:val="auto"/>
                <w:sz w:val="22"/>
                <w:szCs w:val="22"/>
                <w:highlight w:val="none"/>
              </w:rPr>
              <w:t>60</w:t>
            </w:r>
            <w:r>
              <w:rPr>
                <w:rFonts w:hint="eastAsia" w:ascii="宋体" w:cs="宋体"/>
                <w:b/>
                <w:bCs/>
                <w:color w:val="auto"/>
                <w:sz w:val="22"/>
                <w:szCs w:val="22"/>
                <w:highlight w:val="none"/>
              </w:rPr>
              <w:t>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宋体"/>
                <w:b/>
                <w:bCs/>
                <w:color w:val="auto"/>
                <w:sz w:val="22"/>
                <w:szCs w:val="22"/>
                <w:highlight w:val="none"/>
              </w:rPr>
            </w:pPr>
            <w:r>
              <w:rPr>
                <w:rFonts w:ascii="宋体" w:cs="宋体"/>
                <w:b/>
                <w:bCs/>
                <w:color w:val="auto"/>
                <w:sz w:val="22"/>
                <w:szCs w:val="22"/>
                <w:highlight w:val="none"/>
              </w:rPr>
              <w:t>1800</w:t>
            </w:r>
            <w:r>
              <w:rPr>
                <w:rFonts w:hint="eastAsia" w:ascii="宋体" w:cs="宋体"/>
                <w:b/>
                <w:bCs/>
                <w:color w:val="auto"/>
                <w:sz w:val="22"/>
                <w:szCs w:val="22"/>
                <w:highlight w:val="none"/>
              </w:rPr>
              <w:t>元</w:t>
            </w:r>
            <w:r>
              <w:rPr>
                <w:rFonts w:ascii="宋体" w:cs="宋体"/>
                <w:b/>
                <w:bCs/>
                <w:color w:val="auto"/>
                <w:sz w:val="22"/>
                <w:szCs w:val="22"/>
                <w:highlight w:val="none"/>
              </w:rPr>
              <w:t>/</w:t>
            </w:r>
            <w:r>
              <w:rPr>
                <w:rFonts w:hint="eastAsia" w:ascii="宋体" w:cs="宋体"/>
                <w:b/>
                <w:bCs/>
                <w:color w:val="auto"/>
                <w:sz w:val="22"/>
                <w:szCs w:val="22"/>
                <w:highlight w:val="none"/>
              </w:rPr>
              <w:t>项目</w:t>
            </w: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top"/>
              <w:rPr>
                <w:rFonts w:ascii="宋体"/>
                <w:b/>
                <w:bCs/>
                <w:color w:val="auto"/>
                <w:sz w:val="22"/>
                <w:szCs w:val="22"/>
                <w:highlight w:val="none"/>
              </w:rPr>
            </w:pPr>
            <w:r>
              <w:rPr>
                <w:rFonts w:ascii="宋体" w:cs="宋体"/>
                <w:b/>
                <w:bCs/>
                <w:color w:val="auto"/>
                <w:sz w:val="22"/>
                <w:szCs w:val="22"/>
                <w:highlight w:val="none"/>
              </w:rPr>
              <w:t>0.02</w:t>
            </w:r>
          </w:p>
        </w:tc>
        <w:tc>
          <w:tcPr>
            <w:tcW w:w="198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top"/>
              <w:rPr>
                <w:rFonts w:ascii="宋体"/>
                <w:b/>
                <w:bCs/>
                <w:color w:val="auto"/>
                <w:sz w:val="22"/>
                <w:szCs w:val="22"/>
                <w:highlight w:val="none"/>
              </w:rPr>
            </w:pPr>
          </w:p>
        </w:tc>
      </w:tr>
    </w:tbl>
    <w:p>
      <w:pPr>
        <w:spacing w:line="440" w:lineRule="atLeast"/>
        <w:ind w:firstLine="480" w:firstLineChars="200"/>
        <w:rPr>
          <w:color w:val="auto"/>
          <w:sz w:val="24"/>
          <w:szCs w:val="24"/>
          <w:highlight w:val="none"/>
        </w:rPr>
      </w:pPr>
    </w:p>
    <w:p>
      <w:pPr>
        <w:spacing w:line="440" w:lineRule="atLeast"/>
        <w:ind w:firstLine="442" w:firstLineChars="200"/>
        <w:rPr>
          <w:rFonts w:ascii="宋体"/>
          <w:b/>
          <w:bCs/>
          <w:color w:val="auto"/>
          <w:sz w:val="22"/>
          <w:szCs w:val="22"/>
          <w:highlight w:val="none"/>
        </w:rPr>
      </w:pPr>
      <w:r>
        <w:rPr>
          <w:rFonts w:ascii="宋体" w:cs="宋体"/>
          <w:b/>
          <w:bCs/>
          <w:color w:val="auto"/>
          <w:sz w:val="22"/>
          <w:szCs w:val="22"/>
          <w:highlight w:val="none"/>
        </w:rPr>
        <w:t>1.</w:t>
      </w:r>
      <w:r>
        <w:rPr>
          <w:rFonts w:hint="eastAsia" w:ascii="宋体" w:cs="宋体"/>
          <w:b/>
          <w:bCs/>
          <w:color w:val="auto"/>
          <w:sz w:val="22"/>
          <w:szCs w:val="22"/>
          <w:highlight w:val="none"/>
        </w:rPr>
        <w:t>供应商应本着“客观、公正、合理、科学”的原则，遵守国家法律法规和有关文件规定，正确执行计价依据，正确履行审核职责，同时承担相应的法律责任。入围供应商不得参加与审计工程结算有关的经营活动，对项目审计实行回避制度。对入围供应商滥用职权、徇私舞弊、玩忽职守应按情节轻重给予取消进入政府采购市场资格。情节严重，造成国家重大损失的，移送司法机关追究刑事责任。</w:t>
      </w:r>
    </w:p>
    <w:p>
      <w:pPr>
        <w:autoSpaceDE w:val="0"/>
        <w:autoSpaceDN w:val="0"/>
        <w:adjustRightInd w:val="0"/>
        <w:snapToGrid w:val="0"/>
        <w:spacing w:line="440" w:lineRule="atLeast"/>
        <w:textAlignment w:val="bottom"/>
        <w:rPr>
          <w:rFonts w:ascii="宋体" w:cs="宋体"/>
          <w:color w:val="auto"/>
          <w:sz w:val="22"/>
          <w:szCs w:val="22"/>
          <w:highlight w:val="none"/>
        </w:rPr>
      </w:pPr>
      <w:r>
        <w:rPr>
          <w:rFonts w:hint="eastAsia" w:ascii="宋体" w:cs="宋体"/>
          <w:color w:val="auto"/>
          <w:sz w:val="22"/>
          <w:szCs w:val="22"/>
          <w:highlight w:val="none"/>
        </w:rPr>
        <w:t>二、商务条款</w:t>
      </w:r>
      <w:r>
        <w:rPr>
          <w:rFonts w:ascii="宋体" w:cs="宋体"/>
          <w:color w:val="auto"/>
          <w:sz w:val="22"/>
          <w:szCs w:val="22"/>
          <w:highlight w:val="none"/>
        </w:rPr>
        <w:t xml:space="preserve">  </w:t>
      </w:r>
    </w:p>
    <w:p>
      <w:pPr>
        <w:widowControl/>
        <w:tabs>
          <w:tab w:val="left" w:pos="540"/>
        </w:tabs>
        <w:autoSpaceDE w:val="0"/>
        <w:autoSpaceDN w:val="0"/>
        <w:adjustRightInd w:val="0"/>
        <w:snapToGrid w:val="0"/>
        <w:spacing w:line="440" w:lineRule="atLeast"/>
        <w:ind w:firstLine="395" w:firstLineChars="179"/>
        <w:textAlignment w:val="bottom"/>
        <w:rPr>
          <w:rFonts w:ascii="宋体" w:cs="宋体"/>
          <w:b/>
          <w:bCs/>
          <w:color w:val="auto"/>
          <w:sz w:val="22"/>
          <w:szCs w:val="22"/>
          <w:highlight w:val="none"/>
        </w:rPr>
      </w:pPr>
      <w:r>
        <w:rPr>
          <w:rFonts w:ascii="宋体" w:cs="宋体"/>
          <w:b/>
          <w:bCs/>
          <w:color w:val="auto"/>
          <w:sz w:val="22"/>
          <w:szCs w:val="22"/>
          <w:highlight w:val="none"/>
        </w:rPr>
        <w:t>1</w:t>
      </w:r>
      <w:r>
        <w:rPr>
          <w:rFonts w:hint="eastAsia" w:ascii="宋体" w:cs="宋体"/>
          <w:b/>
          <w:bCs/>
          <w:color w:val="auto"/>
          <w:sz w:val="22"/>
          <w:szCs w:val="22"/>
          <w:highlight w:val="none"/>
        </w:rPr>
        <w:t>、付款方式：</w:t>
      </w:r>
      <w:r>
        <w:rPr>
          <w:rFonts w:ascii="宋体" w:cs="宋体"/>
          <w:b/>
          <w:bCs/>
          <w:color w:val="auto"/>
          <w:sz w:val="22"/>
          <w:szCs w:val="22"/>
          <w:highlight w:val="none"/>
        </w:rPr>
        <w:t xml:space="preserve"> </w:t>
      </w:r>
    </w:p>
    <w:p>
      <w:pPr>
        <w:widowControl/>
        <w:tabs>
          <w:tab w:val="left" w:pos="540"/>
        </w:tabs>
        <w:autoSpaceDE w:val="0"/>
        <w:autoSpaceDN w:val="0"/>
        <w:adjustRightInd w:val="0"/>
        <w:snapToGrid w:val="0"/>
        <w:spacing w:line="440" w:lineRule="atLeast"/>
        <w:ind w:firstLine="395" w:firstLineChars="179"/>
        <w:textAlignment w:val="bottom"/>
        <w:rPr>
          <w:rFonts w:hint="eastAsia" w:ascii="新宋体" w:hAnsi="新宋体" w:eastAsia="新宋体" w:cs="新宋体"/>
          <w:b/>
          <w:bCs/>
          <w:color w:val="auto"/>
          <w:sz w:val="22"/>
          <w:szCs w:val="22"/>
          <w:highlight w:val="none"/>
        </w:rPr>
      </w:pPr>
      <w:r>
        <w:rPr>
          <w:rFonts w:hint="eastAsia" w:ascii="宋体" w:cs="宋体"/>
          <w:b/>
          <w:bCs/>
          <w:color w:val="auto"/>
          <w:sz w:val="22"/>
          <w:szCs w:val="22"/>
          <w:highlight w:val="none"/>
        </w:rPr>
        <w:t>实行年度统一结算；费用由中标中介机构直接向医院收取。</w:t>
      </w:r>
    </w:p>
    <w:p>
      <w:pPr>
        <w:pStyle w:val="4"/>
        <w:spacing w:before="120" w:after="120" w:line="400" w:lineRule="exact"/>
        <w:rPr>
          <w:rFonts w:hint="eastAsia" w:ascii="宋体" w:hAnsi="仿宋" w:eastAsia="等线" w:cs="宋体"/>
          <w:b w:val="0"/>
          <w:bCs w:val="0"/>
          <w:color w:val="auto"/>
          <w:kern w:val="2"/>
          <w:sz w:val="22"/>
          <w:szCs w:val="22"/>
          <w:highlight w:val="none"/>
          <w:lang w:val="en-US" w:eastAsia="zh-CN" w:bidi="ar-SA"/>
        </w:rPr>
      </w:pPr>
      <w:bookmarkStart w:id="0" w:name="_Toc16602962"/>
      <w:r>
        <w:rPr>
          <w:rFonts w:hint="eastAsia" w:ascii="宋体" w:hAnsi="仿宋" w:eastAsia="等线" w:cs="宋体"/>
          <w:b w:val="0"/>
          <w:bCs w:val="0"/>
          <w:color w:val="auto"/>
          <w:kern w:val="2"/>
          <w:sz w:val="22"/>
          <w:szCs w:val="22"/>
          <w:highlight w:val="none"/>
          <w:lang w:val="en-US" w:eastAsia="zh-CN" w:bidi="ar-SA"/>
        </w:rPr>
        <w:t>三、其他要求</w:t>
      </w:r>
      <w:bookmarkEnd w:id="0"/>
    </w:p>
    <w:p>
      <w:pPr>
        <w:pStyle w:val="2"/>
        <w:adjustRightInd w:val="0"/>
        <w:snapToGrid w:val="0"/>
        <w:spacing w:line="360" w:lineRule="auto"/>
        <w:ind w:firstLine="105" w:firstLineChars="50"/>
        <w:jc w:val="left"/>
        <w:rPr>
          <w:rFonts w:hint="eastAsia"/>
          <w:color w:val="auto"/>
          <w:sz w:val="21"/>
          <w:szCs w:val="21"/>
          <w:highlight w:val="none"/>
        </w:rPr>
      </w:pPr>
      <w:r>
        <w:rPr>
          <w:rFonts w:hint="eastAsia"/>
          <w:color w:val="auto"/>
          <w:sz w:val="21"/>
          <w:szCs w:val="21"/>
          <w:highlight w:val="none"/>
        </w:rPr>
        <w:t>1、服务时间和地点</w:t>
      </w:r>
    </w:p>
    <w:p>
      <w:pPr>
        <w:spacing w:line="360" w:lineRule="auto"/>
        <w:ind w:left="2642" w:leftChars="208" w:hanging="2205" w:hangingChars="1050"/>
        <w:rPr>
          <w:rFonts w:hint="eastAsia" w:ascii="宋体" w:hAnsi="宋体"/>
          <w:color w:val="auto"/>
          <w:kern w:val="0"/>
          <w:szCs w:val="21"/>
          <w:highlight w:val="none"/>
        </w:rPr>
      </w:pPr>
      <w:r>
        <w:rPr>
          <w:rFonts w:hint="eastAsia" w:ascii="宋体" w:hAnsi="宋体"/>
          <w:color w:val="auto"/>
          <w:kern w:val="0"/>
          <w:szCs w:val="21"/>
          <w:highlight w:val="none"/>
        </w:rPr>
        <w:t>1.1、服务时间：</w:t>
      </w:r>
      <w:r>
        <w:rPr>
          <w:rFonts w:hint="eastAsia" w:ascii="宋体" w:hAnsi="宋体"/>
          <w:color w:val="auto"/>
          <w:kern w:val="0"/>
          <w:szCs w:val="21"/>
          <w:highlight w:val="none"/>
          <w:u w:val="single"/>
        </w:rPr>
        <w:t>买方指定。</w:t>
      </w:r>
    </w:p>
    <w:p>
      <w:pPr>
        <w:snapToGrid w:val="0"/>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rPr>
        <w:t>1.2、服务地点：</w:t>
      </w:r>
      <w:r>
        <w:rPr>
          <w:rFonts w:hint="eastAsia" w:ascii="宋体" w:hAnsi="宋体"/>
          <w:color w:val="auto"/>
          <w:kern w:val="0"/>
          <w:szCs w:val="21"/>
          <w:highlight w:val="none"/>
          <w:u w:val="single"/>
        </w:rPr>
        <w:t>买方指定地点。</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0A2E"/>
    <w:multiLevelType w:val="multilevel"/>
    <w:tmpl w:val="28630A2E"/>
    <w:lvl w:ilvl="0" w:tentative="0">
      <w:start w:val="1"/>
      <w:numFmt w:val="chineseCountingThousand"/>
      <w:pStyle w:val="3"/>
      <w:suff w:val="nothing"/>
      <w:lvlText w:val="第%1章"/>
      <w:lvlJc w:val="left"/>
      <w:pPr>
        <w:ind w:left="4253" w:firstLine="0"/>
      </w:pPr>
    </w:lvl>
    <w:lvl w:ilvl="1" w:tentative="0">
      <w:start w:val="1"/>
      <w:numFmt w:val="none"/>
      <w:pStyle w:val="4"/>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62725"/>
    <w:rsid w:val="4A06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宋体"/>
      <w:kern w:val="2"/>
      <w:sz w:val="21"/>
      <w:szCs w:val="21"/>
      <w:lang w:val="en-US" w:eastAsia="zh-CN" w:bidi="ar-SA"/>
    </w:rPr>
  </w:style>
  <w:style w:type="paragraph" w:styleId="3">
    <w:name w:val="heading 1"/>
    <w:basedOn w:val="1"/>
    <w:next w:val="1"/>
    <w:link w:val="7"/>
    <w:qFormat/>
    <w:uiPriority w:val="9"/>
    <w:pPr>
      <w:keepNext/>
      <w:keepLines/>
      <w:numPr>
        <w:ilvl w:val="0"/>
        <w:numId w:val="1"/>
      </w:numPr>
      <w:spacing w:before="340" w:after="330" w:line="578" w:lineRule="auto"/>
      <w:outlineLvl w:val="0"/>
    </w:pPr>
    <w:rPr>
      <w:rFonts w:cs="Times New Roman"/>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rFonts w:ascii="宋体" w:hAnsi="宋体"/>
      <w:b/>
      <w:bCs/>
      <w:color w:val="000000"/>
      <w:sz w:val="72"/>
      <w:szCs w:val="20"/>
    </w:rPr>
  </w:style>
  <w:style w:type="character" w:customStyle="1" w:styleId="7">
    <w:name w:val="标题 1 Char"/>
    <w:link w:val="3"/>
    <w:uiPriority w:val="9"/>
    <w:rPr>
      <w:rFonts w:cs="Times New Roman"/>
      <w:b/>
      <w:bCs/>
      <w:kern w:val="44"/>
      <w:sz w:val="44"/>
      <w:szCs w:val="44"/>
    </w:rPr>
  </w:style>
  <w:style w:type="paragraph" w:styleId="8">
    <w:name w:val="List Paragraph"/>
    <w:basedOn w:val="1"/>
    <w:qFormat/>
    <w:uiPriority w:val="34"/>
    <w:pPr>
      <w:ind w:firstLine="420" w:firstLineChars="200"/>
    </w:pPr>
    <w:rPr>
      <w:rFonts w:ascii="Calibri" w:hAnsi="Calibri" w:cs="Times New Roman"/>
      <w:szCs w:val="22"/>
    </w:rPr>
  </w:style>
  <w:style w:type="paragraph" w:customStyle="1" w:styleId="9">
    <w:name w:val="U_正文"/>
    <w:basedOn w:val="1"/>
    <w:qFormat/>
    <w:uiPriority w:val="0"/>
    <w:pPr>
      <w:spacing w:beforeLines="20" w:afterLines="20" w:line="300" w:lineRule="auto"/>
      <w:ind w:firstLine="20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2020-08-25T07:51:00Z</dcterms:created>
  <dc:creator>hi</dc:creator>
  <cp:lastModifiedBy>hi</cp:lastModifiedBy>
  <dcterms:modified xsi:type="dcterms:W3CDTF">2020-08-25T07:51:38Z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